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8DC" w:rsidRDefault="001128DC" w:rsidP="001128DC">
      <w:pPr>
        <w:pStyle w:val="NormalWeb"/>
      </w:pPr>
      <w:r>
        <w:t>Ma numesc............</w:t>
      </w:r>
      <w:bookmarkStart w:id="0" w:name="_GoBack"/>
      <w:bookmarkEnd w:id="0"/>
      <w:r>
        <w:t>.</w:t>
      </w:r>
    </w:p>
    <w:p w:rsidR="001128DC" w:rsidRDefault="001128DC" w:rsidP="001128DC">
      <w:pPr>
        <w:pStyle w:val="NormalWeb"/>
      </w:pPr>
      <w:r>
        <w:rPr>
          <w:rStyle w:val="Strong"/>
        </w:rPr>
        <w:t>Catre:  Banca X</w:t>
      </w:r>
      <w:r>
        <w:br/>
      </w:r>
      <w:r>
        <w:br/>
      </w:r>
      <w:r>
        <w:br/>
      </w:r>
      <w:r>
        <w:br/>
        <w:t>Subsemnata(ul)</w:t>
      </w:r>
      <w:r>
        <w:rPr>
          <w:rStyle w:val="Strong"/>
        </w:rPr>
        <w:t xml:space="preserve"> ...............................</w:t>
      </w:r>
      <w:r>
        <w:br/>
      </w:r>
      <w:r>
        <w:rPr>
          <w:rStyle w:val="Emphasis"/>
          <w:b/>
          <w:bCs/>
        </w:rPr>
        <w:t>Vazand comunicatul de presa ANPC</w:t>
      </w:r>
      <w:r>
        <w:t xml:space="preserve"> </w:t>
      </w:r>
      <w:hyperlink r:id="rId4" w:history="1">
        <w:r>
          <w:rPr>
            <w:rStyle w:val="Hyperlink"/>
          </w:rPr>
          <w:t>https://anpc.ro/anpc-sanctioneaza-11-banci-din-romania/</w:t>
        </w:r>
      </w:hyperlink>
      <w:r>
        <w:t xml:space="preserve"> </w:t>
      </w:r>
      <w:r>
        <w:rPr>
          <w:rStyle w:val="Emphasis"/>
          <w:b/>
          <w:bCs/>
        </w:rPr>
        <w:t>si ca sunteti in lista de 19 banci sanctionate</w:t>
      </w:r>
      <w:r>
        <w:rPr>
          <w:b/>
          <w:bCs/>
          <w:i/>
          <w:iCs/>
        </w:rPr>
        <w:br/>
      </w:r>
      <w:r>
        <w:t>ING Bank</w:t>
      </w:r>
      <w:r>
        <w:br/>
        <w:t>First Bank</w:t>
      </w:r>
      <w:r>
        <w:br/>
        <w:t>Credite Europe Bank</w:t>
      </w:r>
      <w:r>
        <w:br/>
        <w:t>OTP Bank</w:t>
      </w:r>
      <w:r>
        <w:br/>
        <w:t>Alpha Bank</w:t>
      </w:r>
      <w:r>
        <w:br/>
        <w:t>BancaTransilvania</w:t>
      </w:r>
      <w:r>
        <w:br/>
        <w:t>Raiffeisen Bank</w:t>
      </w:r>
      <w:r>
        <w:br/>
        <w:t>BCR</w:t>
      </w:r>
      <w:r>
        <w:br/>
        <w:t>Patria Bank</w:t>
      </w:r>
      <w:r>
        <w:br/>
        <w:t>Unicredit Bank</w:t>
      </w:r>
      <w:r>
        <w:br/>
        <w:t>BRD Groupe Societe Generale</w:t>
      </w:r>
    </w:p>
    <w:p w:rsidR="001128DC" w:rsidRDefault="001128DC" w:rsidP="001128DC">
      <w:pPr>
        <w:pStyle w:val="NormalWeb"/>
      </w:pPr>
      <w:r>
        <w:t>EXIM Bank</w:t>
      </w:r>
    </w:p>
    <w:p w:rsidR="001128DC" w:rsidRDefault="001128DC" w:rsidP="001128DC">
      <w:pPr>
        <w:pStyle w:val="NormalWeb"/>
      </w:pPr>
      <w:r>
        <w:t> Procredit Bank</w:t>
      </w:r>
    </w:p>
    <w:p w:rsidR="001128DC" w:rsidRDefault="001128DC" w:rsidP="001128DC">
      <w:pPr>
        <w:pStyle w:val="NormalWeb"/>
      </w:pPr>
      <w:r>
        <w:t>Intesa Sanpaolo Techventures Bank (fosta Bancă Comercială Feroviară)</w:t>
      </w:r>
    </w:p>
    <w:p w:rsidR="001128DC" w:rsidRDefault="001128DC" w:rsidP="001128DC">
      <w:pPr>
        <w:pStyle w:val="NormalWeb"/>
      </w:pPr>
      <w:r>
        <w:t>Libra Bank</w:t>
      </w:r>
    </w:p>
    <w:p w:rsidR="001128DC" w:rsidRDefault="001128DC" w:rsidP="001128DC">
      <w:pPr>
        <w:pStyle w:val="NormalWeb"/>
      </w:pPr>
      <w:r>
        <w:t> CEC Bank</w:t>
      </w:r>
    </w:p>
    <w:p w:rsidR="001128DC" w:rsidRDefault="001128DC" w:rsidP="001128DC">
      <w:pPr>
        <w:pStyle w:val="NormalWeb"/>
      </w:pPr>
      <w:r>
        <w:t>Garanti Bank</w:t>
      </w:r>
    </w:p>
    <w:p w:rsidR="001128DC" w:rsidRDefault="001128DC" w:rsidP="001128DC">
      <w:pPr>
        <w:pStyle w:val="NormalWeb"/>
      </w:pPr>
      <w:r>
        <w:t>Vista Bank</w:t>
      </w:r>
      <w:r>
        <w:br/>
      </w:r>
      <w:r>
        <w:br/>
      </w:r>
      <w:r>
        <w:br/>
      </w:r>
      <w:r>
        <w:br/>
      </w:r>
      <w:r>
        <w:rPr>
          <w:rStyle w:val="Strong"/>
          <w:u w:val="single"/>
        </w:rPr>
        <w:t>Va notific avand in vedere dispozitiile legii 193/2000 si legea 77/2016 si pentru a putea restabili echilibrul contractual sa:</w:t>
      </w:r>
      <w:r>
        <w:br/>
      </w:r>
      <w:r>
        <w:br/>
        <w:t>1.Emiteti  noi grafice de rambursare, atât pentru creditele aflate în curs, cât și pentru cele viitoare, unde principalul creditului datorat să fie achitat de către consumatori în rate egale, pe întreaga perioadă de creditare, în raport cu dobânda aferentă creditului.</w:t>
      </w:r>
      <w:r>
        <w:br/>
        <w:t>2.Restituirea sumelor ilegale incasate pe ultimii 3 ani cu titlu de dobanda calculata pe modelul sanctionat de ANPC si anume:rata era compusă, în primii ani, 25% din soldul principalde rambursat și 75 % dobândă.</w:t>
      </w:r>
      <w:r>
        <w:br/>
      </w:r>
      <w:r>
        <w:lastRenderedPageBreak/>
        <w:br/>
      </w:r>
      <w:r>
        <w:rPr>
          <w:b/>
          <w:bCs/>
          <w:i/>
          <w:iCs/>
        </w:rPr>
        <w:br/>
      </w:r>
      <w:r>
        <w:rPr>
          <w:rStyle w:val="Emphasis"/>
          <w:b/>
          <w:bCs/>
        </w:rPr>
        <w:t>In fapt</w:t>
      </w:r>
    </w:p>
    <w:p w:rsidR="001128DC" w:rsidRDefault="001128DC" w:rsidP="001128DC">
      <w:pPr>
        <w:pStyle w:val="NormalWeb"/>
      </w:pPr>
      <w:r>
        <w:rPr>
          <w:rStyle w:val="Emphasis"/>
          <w:b/>
          <w:bCs/>
        </w:rPr>
        <w:t>Aici treceti ce contract de credit ati incheiat</w:t>
      </w:r>
    </w:p>
    <w:p w:rsidR="001128DC" w:rsidRDefault="001128DC" w:rsidP="001128DC">
      <w:pPr>
        <w:pStyle w:val="NormalWeb"/>
      </w:pPr>
      <w:r>
        <w:rPr>
          <w:rStyle w:val="Strong"/>
        </w:rPr>
        <w:t>Din GRAFICUL DE RAMBURSARE se observa ca rata este compusa 25% din soldul principal de rambursat si 75% dobanda.</w:t>
      </w:r>
    </w:p>
    <w:p w:rsidR="001128DC" w:rsidRDefault="001128DC" w:rsidP="001128DC">
      <w:pPr>
        <w:pStyle w:val="NormalWeb"/>
      </w:pPr>
      <w:r>
        <w:rPr>
          <w:rStyle w:val="Strong"/>
        </w:rPr>
        <w:t>Potrivit acestora, va rugam sa raspundeti solicitarilor noastre in termen de maxim 3 zile de la primirea acestei notificari</w:t>
      </w:r>
    </w:p>
    <w:p w:rsidR="001128DC" w:rsidRDefault="001128DC" w:rsidP="001128DC">
      <w:pPr>
        <w:pStyle w:val="NormalWeb"/>
      </w:pPr>
      <w:r>
        <w:t xml:space="preserve">        </w:t>
      </w:r>
      <w:r>
        <w:br/>
      </w:r>
      <w:r>
        <w:br/>
        <w:t>P.S.</w:t>
      </w:r>
      <w:r>
        <w:br/>
        <w:t>” Dacă fie și unui singur consumator i-a fost dată întreaga viață peste cap, ca urmare a dorinței acestuia de a-i fi mai bine, suntem obligați să îi fim alături.</w:t>
      </w:r>
      <w:r>
        <w:br/>
        <w:t>În cazul de față, este vorba despre un număr foarte mare de consumatori ce au devenit peste noapte susținători ai unui întreg sistem bancar și mai puțin ai lor înșiși.</w:t>
      </w:r>
      <w:r>
        <w:br/>
        <w:t>Să realizezi că, la jumătatea contractului de împrumut, nu ai făcut altceva decât să plătești dobânzi și foarte puțin din credit, este o povară mare pe umerii debitorilor. Dacă lucrurile ar fi fost echilibrate, într-un mod rational și în favoarea consumatorilor, probabil multe familii, astăzi, nu ar mai trăi o dramă financiară.</w:t>
      </w:r>
      <w:r>
        <w:br/>
        <w:t>Sub aceste aspecte, astăzi sancționate de către Autoritatea noastră, par să se ascundă și interese de grup, și o atitudine cartelară. Vom transmite și Consiliului Concurenței cele constatate de către colegii noștri pentru a face și dânsii o analiză a întregii situații.</w:t>
      </w:r>
      <w:r>
        <w:br/>
        <w:t>Dacă există sedii elegante, cămătăria poate avea alt nume.</w:t>
      </w:r>
      <w:r>
        <w:br/>
        <w:t>În perioada imediat următoare voi emite ordine de încetare a acestor practici și suntem pregătiți inclusiv de o luptă în instanță pentru miile de consumatori astăzi îngenuncheați de povara ratelor” – Horia Constantinescu, președintele</w:t>
      </w:r>
    </w:p>
    <w:p w:rsidR="001128DC" w:rsidRDefault="001128DC" w:rsidP="001128DC">
      <w:pPr>
        <w:pStyle w:val="NormalWeb"/>
      </w:pPr>
      <w:r>
        <w:t> </w:t>
      </w:r>
    </w:p>
    <w:p w:rsidR="001128DC" w:rsidRDefault="001128DC" w:rsidP="001128DC">
      <w:pPr>
        <w:pStyle w:val="NormalWeb"/>
      </w:pPr>
      <w:r>
        <w:t> </w:t>
      </w:r>
    </w:p>
    <w:p w:rsidR="001128DC" w:rsidRDefault="001128DC" w:rsidP="001128DC">
      <w:pPr>
        <w:pStyle w:val="NormalWeb"/>
      </w:pPr>
      <w:r>
        <w:t>DATA                                                                                       SEMNATURA</w:t>
      </w:r>
    </w:p>
    <w:p w:rsidR="001128DC" w:rsidRDefault="001128DC" w:rsidP="001128DC">
      <w:pPr>
        <w:pStyle w:val="NormalWeb"/>
      </w:pPr>
      <w:r>
        <w:t> </w:t>
      </w:r>
    </w:p>
    <w:p w:rsidR="00220C53" w:rsidRPr="001128DC" w:rsidRDefault="00220C53" w:rsidP="00006488">
      <w:pPr>
        <w:tabs>
          <w:tab w:val="left" w:pos="8340"/>
        </w:tabs>
        <w:ind w:firstLine="708"/>
        <w:rPr>
          <w:rFonts w:ascii="Times New Roman" w:hAnsi="Times New Roman" w:cs="Times New Roman"/>
          <w:sz w:val="28"/>
          <w:szCs w:val="28"/>
        </w:rPr>
      </w:pPr>
    </w:p>
    <w:sectPr w:rsidR="00220C53" w:rsidRPr="001128D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815"/>
    <w:rsid w:val="00006488"/>
    <w:rsid w:val="001128DC"/>
    <w:rsid w:val="001B0815"/>
    <w:rsid w:val="00220C53"/>
    <w:rsid w:val="002C69F3"/>
    <w:rsid w:val="00A41BC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A3A9D7-AD8A-4019-82DA-49E5895F5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128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C69F3"/>
    <w:rPr>
      <w:color w:val="0000FF"/>
      <w:u w:val="single"/>
    </w:rPr>
  </w:style>
  <w:style w:type="paragraph" w:styleId="NoSpacing">
    <w:name w:val="No Spacing"/>
    <w:uiPriority w:val="1"/>
    <w:qFormat/>
    <w:rsid w:val="002C69F3"/>
    <w:pPr>
      <w:spacing w:after="0" w:line="240" w:lineRule="auto"/>
    </w:pPr>
    <w:rPr>
      <w:lang w:val="en-US"/>
    </w:rPr>
  </w:style>
  <w:style w:type="character" w:customStyle="1" w:styleId="Heading1Char">
    <w:name w:val="Heading 1 Char"/>
    <w:basedOn w:val="DefaultParagraphFont"/>
    <w:link w:val="Heading1"/>
    <w:uiPriority w:val="9"/>
    <w:rsid w:val="001128DC"/>
    <w:rPr>
      <w:rFonts w:ascii="Times New Roman" w:eastAsia="Times New Roman" w:hAnsi="Times New Roman" w:cs="Times New Roman"/>
      <w:b/>
      <w:bCs/>
      <w:kern w:val="36"/>
      <w:sz w:val="48"/>
      <w:szCs w:val="48"/>
      <w:lang w:eastAsia="ro-RO"/>
    </w:rPr>
  </w:style>
  <w:style w:type="paragraph" w:styleId="NormalWeb">
    <w:name w:val="Normal (Web)"/>
    <w:basedOn w:val="Normal"/>
    <w:uiPriority w:val="99"/>
    <w:semiHidden/>
    <w:unhideWhenUsed/>
    <w:rsid w:val="001128DC"/>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Strong">
    <w:name w:val="Strong"/>
    <w:basedOn w:val="DefaultParagraphFont"/>
    <w:uiPriority w:val="22"/>
    <w:qFormat/>
    <w:rsid w:val="001128DC"/>
    <w:rPr>
      <w:b/>
      <w:bCs/>
    </w:rPr>
  </w:style>
  <w:style w:type="character" w:styleId="Emphasis">
    <w:name w:val="Emphasis"/>
    <w:basedOn w:val="DefaultParagraphFont"/>
    <w:uiPriority w:val="20"/>
    <w:qFormat/>
    <w:rsid w:val="001128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509385">
      <w:bodyDiv w:val="1"/>
      <w:marLeft w:val="0"/>
      <w:marRight w:val="0"/>
      <w:marTop w:val="0"/>
      <w:marBottom w:val="0"/>
      <w:divBdr>
        <w:top w:val="none" w:sz="0" w:space="0" w:color="auto"/>
        <w:left w:val="none" w:sz="0" w:space="0" w:color="auto"/>
        <w:bottom w:val="none" w:sz="0" w:space="0" w:color="auto"/>
        <w:right w:val="none" w:sz="0" w:space="0" w:color="auto"/>
      </w:divBdr>
    </w:div>
    <w:div w:id="161305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npc.ro/anpc-sanctioneaza-11-banci-din-roma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418</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Utilizator Windows</cp:lastModifiedBy>
  <cp:revision>4</cp:revision>
  <dcterms:created xsi:type="dcterms:W3CDTF">2023-05-24T06:53:00Z</dcterms:created>
  <dcterms:modified xsi:type="dcterms:W3CDTF">2023-05-31T06:39:00Z</dcterms:modified>
</cp:coreProperties>
</file>